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B7F" w:rsidRDefault="00632244" w:rsidP="00AC4E3F">
      <w:pPr>
        <w:jc w:val="both"/>
      </w:pPr>
      <w:r>
        <w:t>Szanowni Pani Redaktor,</w:t>
      </w:r>
    </w:p>
    <w:p w:rsidR="00632244" w:rsidRDefault="00632244" w:rsidP="00AC4E3F">
      <w:pPr>
        <w:jc w:val="both"/>
      </w:pPr>
      <w:r>
        <w:t xml:space="preserve">z dużym zainteresowaniem zapoznałem się z marcowym numerem Gazety Sucholeskiej. Moje szczególne zaciekawienie wywołał artykuł pod tytułem „Co oznacza bycie wśród najzamożniejszych?” (str. 15). Tekst miał w zamierzeniu dotyczyć finansów publicznych. W praktyce jednak odnosi się jedynie do pewnego ich obszaru. W efekcie publikacja ta kompletnie nic nie mówi na temat faktycznego stanu finansów gminy Suchy Las. </w:t>
      </w:r>
    </w:p>
    <w:p w:rsidR="00632244" w:rsidRDefault="00632244" w:rsidP="00AC4E3F">
      <w:pPr>
        <w:jc w:val="both"/>
      </w:pPr>
      <w:r>
        <w:t>A stan ów wygląda następująco:</w:t>
      </w:r>
    </w:p>
    <w:p w:rsidR="007C6B3F" w:rsidRDefault="00632244" w:rsidP="00AC4E3F">
      <w:pPr>
        <w:jc w:val="both"/>
        <w:rPr>
          <w:color w:val="FF0000"/>
        </w:rPr>
      </w:pPr>
      <w:r w:rsidRPr="00796F23">
        <w:rPr>
          <w:b/>
        </w:rPr>
        <w:t xml:space="preserve">Suchy Las to </w:t>
      </w:r>
      <w:r w:rsidR="00796F23" w:rsidRPr="00796F23">
        <w:rPr>
          <w:b/>
        </w:rPr>
        <w:t>jedna z najbardziej zadłużonych gmin w kraju</w:t>
      </w:r>
      <w:r w:rsidR="00AC4E3F">
        <w:rPr>
          <w:b/>
        </w:rPr>
        <w:t>.</w:t>
      </w:r>
      <w:r w:rsidR="00796F23">
        <w:t xml:space="preserve"> </w:t>
      </w:r>
      <w:proofErr w:type="spellStart"/>
      <w:r w:rsidR="00AC4E3F">
        <w:t>Wg</w:t>
      </w:r>
      <w:proofErr w:type="spellEnd"/>
      <w:r w:rsidR="00AC4E3F">
        <w:t xml:space="preserve">. </w:t>
      </w:r>
      <w:r w:rsidR="00796F23" w:rsidRPr="00AC4E3F">
        <w:t xml:space="preserve">raportu miesięcznika „Wspólnota” </w:t>
      </w:r>
      <w:r w:rsidR="00AC4E3F" w:rsidRPr="00AC4E3F">
        <w:t xml:space="preserve">nr 19/2013 </w:t>
      </w:r>
      <w:r w:rsidR="00796F23" w:rsidRPr="00AC4E3F">
        <w:t xml:space="preserve">w kategorii gmin </w:t>
      </w:r>
      <w:r w:rsidR="00AC4E3F" w:rsidRPr="00AC4E3F">
        <w:t>wiejskich</w:t>
      </w:r>
      <w:r w:rsidR="007C6B3F">
        <w:t xml:space="preserve"> Suchy Las zajął 21 miejsce w zestawieniu najbardziej zadłużonych samorządów</w:t>
      </w:r>
      <w:r w:rsidR="00AC4E3F" w:rsidRPr="00AC4E3F">
        <w:t>.</w:t>
      </w:r>
      <w:r w:rsidR="007C6B3F">
        <w:t xml:space="preserve"> Badaniu poddano 1524 gminy wiejskie.</w:t>
      </w:r>
      <w:r w:rsidR="00AC4E3F">
        <w:rPr>
          <w:color w:val="FF0000"/>
        </w:rPr>
        <w:t xml:space="preserve"> </w:t>
      </w:r>
    </w:p>
    <w:p w:rsidR="00796F23" w:rsidRDefault="000C2548" w:rsidP="00AC4E3F">
      <w:pPr>
        <w:jc w:val="both"/>
      </w:pPr>
      <w:r>
        <w:t>Czy</w:t>
      </w:r>
      <w:r w:rsidR="00632244">
        <w:t xml:space="preserve"> można sugerować, że do najzamożniejszych należy gmina, </w:t>
      </w:r>
      <w:r w:rsidR="00796F23">
        <w:t xml:space="preserve">której długi przekraczają 60% jej dochodów? Nikt zamożny nie zadłuża się tak wysoko, jeśli nie musi, a nasza gmina nie musiała, a mimo to się zadłużyła. Ktoś powie, że za te pieniądze powstał basen, hala sportowa czy centrum kultury. To prawda, ale dlaczego nie korzystano ze środków unijnych? Cała Polska od paru dobrych lat korzysta z płynących z Unii pieniędzy. W tym czasie nasza gmina prawie nie korzysta z tych środków. </w:t>
      </w:r>
      <w:r w:rsidR="00796F23" w:rsidRPr="007C6B3F">
        <w:rPr>
          <w:b/>
        </w:rPr>
        <w:t xml:space="preserve">W rankingu miesięcznika „Wspólnota” </w:t>
      </w:r>
      <w:r w:rsidR="007C6B3F" w:rsidRPr="007C6B3F">
        <w:rPr>
          <w:b/>
        </w:rPr>
        <w:t xml:space="preserve">nr 22/2013, </w:t>
      </w:r>
      <w:r w:rsidR="00796F23" w:rsidRPr="007C6B3F">
        <w:rPr>
          <w:b/>
        </w:rPr>
        <w:t>który zbadał stopień pozyskiwania środków europejskich w przeliczeniu na jednego mieszkańca, gmina Suchy Las jest na szarym końcu.</w:t>
      </w:r>
      <w:r w:rsidR="00796F23">
        <w:t xml:space="preserve"> Można zatem było budować za europejskie, a zbudowano za własne, zadłużając się ponad miarę.</w:t>
      </w:r>
      <w:r w:rsidR="00BB2321">
        <w:t xml:space="preserve"> </w:t>
      </w:r>
    </w:p>
    <w:p w:rsidR="00796F23" w:rsidRDefault="000C2548" w:rsidP="00AC4E3F">
      <w:pPr>
        <w:jc w:val="both"/>
      </w:pPr>
      <w:r>
        <w:t>Słychać głosy</w:t>
      </w:r>
      <w:r w:rsidR="00357F84" w:rsidRPr="004657C4">
        <w:t>, że</w:t>
      </w:r>
      <w:r w:rsidR="004657C4">
        <w:t xml:space="preserve"> zagrożenia nie ma a</w:t>
      </w:r>
      <w:r w:rsidR="00357F84" w:rsidRPr="004657C4">
        <w:t xml:space="preserve"> gmina może się jeszcze zadłużać, </w:t>
      </w:r>
      <w:r w:rsidR="009637DE" w:rsidRPr="004657C4">
        <w:t>bo wskaźniki</w:t>
      </w:r>
      <w:r w:rsidR="00357F84" w:rsidRPr="004657C4">
        <w:t xml:space="preserve"> na to pozwalają.</w:t>
      </w:r>
      <w:r w:rsidR="00357F84" w:rsidRPr="009637DE">
        <w:rPr>
          <w:b/>
        </w:rPr>
        <w:t xml:space="preserve"> Co jeśli sejm wprowadzi bardziej restrykcyjne wskaźniki? Jak wtedy będzie fu</w:t>
      </w:r>
      <w:r w:rsidR="00BB2321" w:rsidRPr="009637DE">
        <w:rPr>
          <w:b/>
        </w:rPr>
        <w:t>nkcjonować gmina? Czy zamiast remontować drogi,</w:t>
      </w:r>
      <w:r w:rsidR="00357F84" w:rsidRPr="009637DE">
        <w:rPr>
          <w:b/>
        </w:rPr>
        <w:t xml:space="preserve"> nie trzeba będzie zacząć ostro spłacać długów?</w:t>
      </w:r>
      <w:r w:rsidR="00357F84">
        <w:t xml:space="preserve"> Kosztem mieszkańców gminy, oczywiście.</w:t>
      </w:r>
      <w:r w:rsidR="007A3A99">
        <w:t xml:space="preserve"> </w:t>
      </w:r>
      <w:r w:rsidR="009637DE">
        <w:t>Warto dodać, że już dziś mówi się o zmianie tych wskaźników (np. Rzeczpospolita z 14.04.2014, str. C7).</w:t>
      </w:r>
    </w:p>
    <w:p w:rsidR="004657C4" w:rsidRDefault="004657C4" w:rsidP="00AC4E3F">
      <w:pPr>
        <w:jc w:val="both"/>
      </w:pPr>
    </w:p>
    <w:p w:rsidR="00796F23" w:rsidRDefault="00D92965" w:rsidP="00AC4E3F">
      <w:pPr>
        <w:jc w:val="both"/>
      </w:pPr>
      <w:r>
        <w:t>W omawianym artykule nie wspomina</w:t>
      </w:r>
      <w:r w:rsidR="000C2548">
        <w:t xml:space="preserve"> się</w:t>
      </w:r>
      <w:r>
        <w:t xml:space="preserve"> o długu gminy. Nie ma też mowy o tym, ile kosztują nas, mieszkańców, usługi publiczne. Znów z pomocą przychodzi miesięcznik „Wspólnota”, który</w:t>
      </w:r>
      <w:r w:rsidR="004657C4">
        <w:t xml:space="preserve"> w nr 15/2013</w:t>
      </w:r>
      <w:r>
        <w:t xml:space="preserve"> opracował, ile </w:t>
      </w:r>
      <w:r w:rsidRPr="004657C4">
        <w:t>gminy</w:t>
      </w:r>
      <w:r w:rsidR="004657C4">
        <w:t xml:space="preserve"> </w:t>
      </w:r>
      <w:r>
        <w:t xml:space="preserve">wydają na administrację w przeliczeniu na mieszkańca. </w:t>
      </w:r>
      <w:r w:rsidRPr="004657C4">
        <w:rPr>
          <w:b/>
        </w:rPr>
        <w:t>Tu także Suchy Las wypada fatalnie.</w:t>
      </w:r>
      <w:r w:rsidR="004657C4" w:rsidRPr="004657C4">
        <w:rPr>
          <w:b/>
        </w:rPr>
        <w:t xml:space="preserve"> Na 260 gmin wiejskich powyżej 10 tys. mieszkańców Suchy Las jest czwartym najdroższym samorządem.</w:t>
      </w:r>
      <w:r>
        <w:t xml:space="preserve"> Każdy nasz mieszkaniec płaci</w:t>
      </w:r>
      <w:r w:rsidR="00487123">
        <w:t xml:space="preserve"> na urząd statystycznie 561 zł. Przykładowo</w:t>
      </w:r>
      <w:r>
        <w:t xml:space="preserve"> w Czerwonaku płacą 322 zł, w Rokietni</w:t>
      </w:r>
      <w:r w:rsidR="00487123">
        <w:t xml:space="preserve">cy 312 zł, w Komornikach 296 zł, w Dopiewie 261 zł. A więc </w:t>
      </w:r>
      <w:r w:rsidR="00487123" w:rsidRPr="000C4067">
        <w:rPr>
          <w:b/>
        </w:rPr>
        <w:t>nasza administracja jest prawie dwa razy droższa, niż w podobnych gminach powiatu poznański</w:t>
      </w:r>
      <w:r w:rsidR="00CF6B32" w:rsidRPr="000C4067">
        <w:rPr>
          <w:b/>
        </w:rPr>
        <w:t>ego</w:t>
      </w:r>
      <w:r w:rsidR="00CF6B32">
        <w:t>.</w:t>
      </w:r>
      <w:r w:rsidR="00006B44">
        <w:t xml:space="preserve"> Jest też dwa razy droższa niż przeciętne wydatki tego typu w Polsce.</w:t>
      </w:r>
      <w:r w:rsidR="00CF6B32">
        <w:t xml:space="preserve"> Dlaczego?</w:t>
      </w:r>
    </w:p>
    <w:p w:rsidR="00CF6B32" w:rsidRDefault="00CF6B32" w:rsidP="00AC4E3F">
      <w:pPr>
        <w:jc w:val="both"/>
      </w:pPr>
      <w:r>
        <w:t xml:space="preserve">Idźmy dalej – gmina utrzymuje liczne spółki prawa handlowego. Nasuwa się tu kilka pytań - jakie są wymierne efekty ich działania, jakie są ich wyniki finansowe? Tajemnicą poliszynela jest, że generują zadłużenie, podobnie jak basen czy hala sportowa. O ile jednak basen i hala pełnią ważną i pożyteczną funkcję dla mieszkańców, o tyle spółki już nie. Po co nam spółka promująca lokalną przedsiębiorczość, skoro w gminie mamy ogromną ilość przedsiębiorców? Po co </w:t>
      </w:r>
      <w:r w:rsidR="00B650C2">
        <w:t xml:space="preserve">w gminie </w:t>
      </w:r>
      <w:r>
        <w:t>spółka inwestująca nasze publiczne pieniądze w światłowodowy Internet, skoro z powodzeniem może to robić przedsiębiorstwo prywatne na zdrowych, rynkowych zasadach?</w:t>
      </w:r>
    </w:p>
    <w:p w:rsidR="00AC4E3F" w:rsidRDefault="00525343" w:rsidP="00AC4E3F">
      <w:pPr>
        <w:jc w:val="both"/>
      </w:pPr>
      <w:r>
        <w:lastRenderedPageBreak/>
        <w:t xml:space="preserve">Sugerowanie w tekście, że gmina ma </w:t>
      </w:r>
      <w:r w:rsidRPr="00525343">
        <w:rPr>
          <w:i/>
        </w:rPr>
        <w:t>większe możliwości realizacji różnych zadań, w tym inwestycyjnych</w:t>
      </w:r>
      <w:r>
        <w:rPr>
          <w:i/>
        </w:rPr>
        <w:t xml:space="preserve"> </w:t>
      </w:r>
      <w:r>
        <w:t xml:space="preserve">jest, niestety, nieprawdziwe. </w:t>
      </w:r>
      <w:r w:rsidRPr="00A71821">
        <w:rPr>
          <w:b/>
        </w:rPr>
        <w:t>Nie ma dziś żadnej poważniejszej gminnej inwestycji, która nie byłaby realizowana na kredyt</w:t>
      </w:r>
      <w:r w:rsidR="00DA37FB">
        <w:t xml:space="preserve"> lub w formule partnerstwa publiczno-prywatnego, nierzadko droższego niż kredyt.</w:t>
      </w:r>
      <w:r w:rsidR="00D66ABC">
        <w:t xml:space="preserve"> Gmina wcale nie ma większych możliwości, chyba że bierze kolejny k</w:t>
      </w:r>
      <w:r w:rsidR="00B650C2">
        <w:t>redyt, ale czy życie na kredyt t</w:t>
      </w:r>
      <w:r w:rsidR="00D66ABC">
        <w:t>o życie zamożnego</w:t>
      </w:r>
      <w:r w:rsidR="00AC4E3F">
        <w:t>?</w:t>
      </w:r>
    </w:p>
    <w:p w:rsidR="00CF6B32" w:rsidRDefault="00CF57DE" w:rsidP="00AC4E3F">
      <w:pPr>
        <w:jc w:val="both"/>
      </w:pPr>
      <w:r>
        <w:t xml:space="preserve">Odnosząc </w:t>
      </w:r>
      <w:r w:rsidR="000F78D5">
        <w:t>się dalej do tekstu –</w:t>
      </w:r>
      <w:r w:rsidR="00B20291">
        <w:t xml:space="preserve"> pada sugestia, że gmina jest pokrzywdzona koniecznością płacenia </w:t>
      </w:r>
      <w:proofErr w:type="spellStart"/>
      <w:r w:rsidR="00B20291" w:rsidRPr="00B20291">
        <w:rPr>
          <w:i/>
        </w:rPr>
        <w:t>janosikowego</w:t>
      </w:r>
      <w:proofErr w:type="spellEnd"/>
      <w:r w:rsidR="00B20291">
        <w:t xml:space="preserve">, że to duże nieszczęście dla naszego samorządu. </w:t>
      </w:r>
      <w:r w:rsidR="008635B1">
        <w:t xml:space="preserve">Nie ma co zwalać na polską rzeczywistość i samo </w:t>
      </w:r>
      <w:r w:rsidR="008635B1" w:rsidRPr="008635B1">
        <w:rPr>
          <w:i/>
        </w:rPr>
        <w:t>janosikowe</w:t>
      </w:r>
      <w:r w:rsidR="008635B1">
        <w:t>.</w:t>
      </w:r>
      <w:r w:rsidR="000F78D5">
        <w:t xml:space="preserve"> </w:t>
      </w:r>
      <w:r w:rsidR="008635B1">
        <w:t xml:space="preserve">To nie z jego powodu jesteśmy zadłużeni, ale z powodu fatalnego zarządzania publicznymi pieniędzmi. </w:t>
      </w:r>
      <w:r w:rsidR="0025742F">
        <w:t xml:space="preserve">Narzekanie na </w:t>
      </w:r>
      <w:r w:rsidR="0025742F" w:rsidRPr="0025742F">
        <w:rPr>
          <w:i/>
        </w:rPr>
        <w:t>janosikowe</w:t>
      </w:r>
      <w:r w:rsidR="0025742F">
        <w:t xml:space="preserve"> przybliża nas wizerunkowo do samorządu województwa mazowieckiego, które stoi na krawędzi bankructwa przez niegospodarność swoich władz, a nie przez </w:t>
      </w:r>
      <w:r w:rsidR="0025742F" w:rsidRPr="0025742F">
        <w:rPr>
          <w:i/>
        </w:rPr>
        <w:t>janosikowe</w:t>
      </w:r>
      <w:r w:rsidR="0025742F">
        <w:t xml:space="preserve">. </w:t>
      </w:r>
      <w:r w:rsidR="001B27D1">
        <w:t xml:space="preserve">Warto też dodać, że gmina dostaje od skarbu państwa dużo </w:t>
      </w:r>
      <w:r w:rsidR="00A17A68">
        <w:t>więcej, niż do niego przekazuje</w:t>
      </w:r>
      <w:r w:rsidR="001B27D1">
        <w:t xml:space="preserve">. Sam podatek za poligon płacony przez wojsko, jest wyższy od </w:t>
      </w:r>
      <w:proofErr w:type="spellStart"/>
      <w:r w:rsidR="001B27D1" w:rsidRPr="001B27D1">
        <w:rPr>
          <w:i/>
        </w:rPr>
        <w:t>janosikowego</w:t>
      </w:r>
      <w:proofErr w:type="spellEnd"/>
      <w:r w:rsidR="001B27D1">
        <w:t>, jakie musi zapłacić gmina.</w:t>
      </w:r>
      <w:r w:rsidR="0023774A">
        <w:t xml:space="preserve"> </w:t>
      </w:r>
      <w:r w:rsidR="00D50F31">
        <w:t>Jak zatem widać</w:t>
      </w:r>
      <w:r w:rsidR="00A80125">
        <w:t>,</w:t>
      </w:r>
      <w:r w:rsidR="00D50F31">
        <w:t xml:space="preserve"> </w:t>
      </w:r>
      <w:r w:rsidR="00D50F31" w:rsidRPr="00A80125">
        <w:rPr>
          <w:i/>
        </w:rPr>
        <w:t>janosikowe</w:t>
      </w:r>
      <w:r w:rsidR="00D50F31">
        <w:t xml:space="preserve"> w żaden sposób nie uzasadnia zadłużenia gminy i jej problemów finansowych.</w:t>
      </w:r>
    </w:p>
    <w:p w:rsidR="00E90D9F" w:rsidRDefault="00E90D9F" w:rsidP="00AC4E3F">
      <w:pPr>
        <w:jc w:val="both"/>
      </w:pPr>
      <w:r>
        <w:t xml:space="preserve">Ostatnie już pytanie, zapewne retoryczne. Co mają unaoczniać wykresy przedstawione w tekście? Że mamy wysokie dochody? Mamy! Że jesteśmy zamożni? Nie jesteśmy! Dlaczego nie przedstawiono relacji dochodów do wydatków, dlaczego nie ma porównania z innymi gminami z okolicy? </w:t>
      </w:r>
      <w:r w:rsidR="00EA444E">
        <w:t>Może warto pokazać,</w:t>
      </w:r>
      <w:r>
        <w:t xml:space="preserve"> ile darmowych godzin na basenie dla mieszkańców można by opłacić za pieniądze przeznaczane na bezproduktywną, promującą przedsiębiorczość gminną spółkę? Ile byłoby za to darmowych obiadów czy lekcji angielskiego dla dzieci… Wszak chodzi o miliony złotych.</w:t>
      </w:r>
    </w:p>
    <w:p w:rsidR="00D6546B" w:rsidRDefault="00B47062" w:rsidP="00B47062">
      <w:pPr>
        <w:jc w:val="both"/>
      </w:pPr>
      <w:r>
        <w:t>Szkoda, że w tekście zabrakło puenty. Ciekaw jestem jej treści.</w:t>
      </w:r>
      <w:r w:rsidR="00457796">
        <w:t xml:space="preserve"> </w:t>
      </w:r>
    </w:p>
    <w:p w:rsidR="00AC4E3F" w:rsidRDefault="00954E67" w:rsidP="00AC4E3F">
      <w:pPr>
        <w:jc w:val="both"/>
      </w:pPr>
      <w:r>
        <w:t xml:space="preserve">P.s.: przedstawione wykresy proponuję zastąpić </w:t>
      </w:r>
      <w:r w:rsidR="00725CE4">
        <w:t>tymi trzema</w:t>
      </w:r>
      <w:r>
        <w:t xml:space="preserve"> grafikami:</w:t>
      </w:r>
    </w:p>
    <w:p w:rsidR="00954E67" w:rsidRDefault="00954E67" w:rsidP="00AC4E3F">
      <w:pPr>
        <w:jc w:val="both"/>
      </w:pPr>
      <w:r>
        <w:t>1.</w:t>
      </w:r>
    </w:p>
    <w:p w:rsidR="00954E67" w:rsidRDefault="00954E67" w:rsidP="00AC4E3F">
      <w:pPr>
        <w:jc w:val="both"/>
      </w:pPr>
      <w:r>
        <w:rPr>
          <w:noProof/>
          <w:lang w:eastAsia="pl-PL"/>
        </w:rPr>
        <w:drawing>
          <wp:inline distT="0" distB="0" distL="0" distR="0">
            <wp:extent cx="5486400" cy="3200400"/>
            <wp:effectExtent l="19050" t="0" r="19050" b="0"/>
            <wp:docPr id="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62150" w:rsidRDefault="00A62150" w:rsidP="00AC4E3F">
      <w:pPr>
        <w:jc w:val="both"/>
      </w:pPr>
    </w:p>
    <w:p w:rsidR="00AC4E3F" w:rsidRDefault="00954E67" w:rsidP="00AC4E3F">
      <w:pPr>
        <w:jc w:val="both"/>
      </w:pPr>
      <w:r>
        <w:lastRenderedPageBreak/>
        <w:t>2.</w:t>
      </w:r>
    </w:p>
    <w:p w:rsidR="00954E67" w:rsidRDefault="00A62150" w:rsidP="00954E67">
      <w:pPr>
        <w:jc w:val="both"/>
      </w:pPr>
      <w:r w:rsidRPr="00A62150">
        <w:rPr>
          <w:noProof/>
          <w:lang w:eastAsia="pl-PL"/>
        </w:rPr>
        <w:drawing>
          <wp:inline distT="0" distB="0" distL="0" distR="0">
            <wp:extent cx="5486400" cy="3200400"/>
            <wp:effectExtent l="19050" t="0" r="5715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54E67" w:rsidRDefault="00954E67" w:rsidP="00AC4E3F">
      <w:pPr>
        <w:jc w:val="both"/>
      </w:pPr>
    </w:p>
    <w:p w:rsidR="00954E67" w:rsidRDefault="00A62150" w:rsidP="00AC4E3F">
      <w:pPr>
        <w:jc w:val="both"/>
      </w:pPr>
      <w:r>
        <w:t xml:space="preserve">3. </w:t>
      </w:r>
    </w:p>
    <w:p w:rsidR="00725CE4" w:rsidRDefault="00725CE4" w:rsidP="00AC4E3F">
      <w:pPr>
        <w:jc w:val="both"/>
      </w:pPr>
    </w:p>
    <w:p w:rsidR="00725CE4" w:rsidRDefault="00F46789" w:rsidP="00725CE4">
      <w:pPr>
        <w:jc w:val="both"/>
        <w:rPr>
          <w:rFonts w:asciiTheme="majorHAnsi" w:hAnsiTheme="majorHAnsi" w:cs="Times New Roman"/>
        </w:rPr>
      </w:pPr>
      <w:r>
        <w:rPr>
          <w:rFonts w:asciiTheme="majorHAnsi" w:hAnsiTheme="majorHAnsi" w:cs="Times New Roman"/>
          <w:noProof/>
          <w:lang w:eastAsia="pl-PL"/>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3" type="#_x0000_t80" style="position:absolute;left:0;text-align:left;margin-left:-34.85pt;margin-top:-28.1pt;width:262.5pt;height:273.75pt;z-index:251660288" adj="14941,7439,17894,9105" fillcolor="white [3201]" strokecolor="#95b3d7 [1940]" strokeweight="1pt">
            <v:fill color2="#b8cce4 [1300]" focusposition="1" focussize="" focus="100%" type="gradient"/>
            <v:shadow on="t" type="perspective" color="#243f60 [1604]" opacity=".5" offset="1pt" offset2="-3pt"/>
            <v:textbox>
              <w:txbxContent>
                <w:p w:rsidR="00725CE4" w:rsidRPr="00F709E3" w:rsidRDefault="00725CE4" w:rsidP="00725CE4">
                  <w:pPr>
                    <w:jc w:val="both"/>
                    <w:rPr>
                      <w:rFonts w:asciiTheme="majorHAnsi" w:hAnsiTheme="majorHAnsi" w:cs="Times New Roman"/>
                      <w:sz w:val="24"/>
                      <w:szCs w:val="24"/>
                    </w:rPr>
                  </w:pPr>
                  <w:r w:rsidRPr="00F709E3">
                    <w:rPr>
                      <w:rFonts w:asciiTheme="majorHAnsi" w:hAnsiTheme="majorHAnsi" w:cs="Times New Roman"/>
                      <w:sz w:val="24"/>
                      <w:szCs w:val="24"/>
                    </w:rPr>
                    <w:t xml:space="preserve">Będziemy mieć szkołę za 27 milionów, mimo że odpowiednią ilość miejsc szkolnych zapewniłoby dodatkowe skrzydło obecnej szkoły. Zgodnie z danymi przygotowanymi przez urząd gminy w roku 2012 i 2013 koszt takiej rozbudowy wyniósłby ok 2 miliony 700 tysięcy złotych. </w:t>
                  </w:r>
                </w:p>
                <w:p w:rsidR="00725CE4" w:rsidRPr="00F709E3" w:rsidRDefault="00725CE4" w:rsidP="00725CE4">
                  <w:pPr>
                    <w:jc w:val="both"/>
                    <w:rPr>
                      <w:rFonts w:asciiTheme="majorHAnsi" w:hAnsiTheme="majorHAnsi" w:cs="Times New Roman"/>
                      <w:sz w:val="24"/>
                      <w:szCs w:val="24"/>
                    </w:rPr>
                  </w:pPr>
                  <w:r w:rsidRPr="00F709E3">
                    <w:rPr>
                      <w:rFonts w:asciiTheme="majorHAnsi" w:hAnsiTheme="majorHAnsi" w:cs="Times New Roman"/>
                      <w:sz w:val="24"/>
                      <w:szCs w:val="24"/>
                    </w:rPr>
                    <w:t>Zapłacimy 27 milionów za efekt, który moglibyśmy osiągnąć płacąc 2 miliony 700 tysięcy.</w:t>
                  </w:r>
                </w:p>
                <w:p w:rsidR="00725CE4" w:rsidRDefault="00725CE4" w:rsidP="00725CE4"/>
              </w:txbxContent>
            </v:textbox>
          </v:shape>
        </w:pict>
      </w:r>
    </w:p>
    <w:p w:rsidR="00725CE4" w:rsidRDefault="00F46789" w:rsidP="00725CE4">
      <w:pPr>
        <w:jc w:val="both"/>
        <w:rPr>
          <w:rFonts w:asciiTheme="majorHAnsi" w:hAnsiTheme="majorHAnsi" w:cs="Times New Roman"/>
        </w:rPr>
      </w:pPr>
      <w:r>
        <w:rPr>
          <w:rFonts w:asciiTheme="majorHAnsi" w:hAnsiTheme="majorHAnsi" w:cs="Times New Roman"/>
          <w:noProof/>
          <w:lang w:eastAsia="pl-PL"/>
        </w:rPr>
        <w:pict>
          <v:rect id="_x0000_s1036" style="position:absolute;left:0;text-align:left;margin-left:307pt;margin-top:7.5pt;width:171pt;height:81.75pt;z-index:251663360" fillcolor="#95b3d7 [1940]" strokecolor="#95b3d7 [1940]" strokeweight="1pt">
            <v:fill color2="#dbe5f1 [660]" angle="-45" focus="-50%" type="gradient"/>
            <v:shadow on="t" type="perspective" color="#243f60 [1604]" opacity=".5" offset="1pt" offset2="-3pt"/>
            <v:textbox style="mso-next-textbox:#_x0000_s1036">
              <w:txbxContent>
                <w:p w:rsidR="00725CE4" w:rsidRPr="000D166A" w:rsidRDefault="00725CE4" w:rsidP="00725CE4">
                  <w:pPr>
                    <w:jc w:val="center"/>
                    <w:rPr>
                      <w:sz w:val="24"/>
                      <w:szCs w:val="24"/>
                    </w:rPr>
                  </w:pPr>
                  <w:r w:rsidRPr="000D166A">
                    <w:rPr>
                      <w:rFonts w:asciiTheme="majorHAnsi" w:hAnsiTheme="majorHAnsi" w:cs="Times New Roman"/>
                      <w:sz w:val="24"/>
                      <w:szCs w:val="24"/>
                    </w:rPr>
                    <w:t>około 16 razy więcej niż gmina wyda na bezpieczeństwo i ochronę przeciwpożarową w 2014 r.</w:t>
                  </w:r>
                </w:p>
              </w:txbxContent>
            </v:textbox>
          </v:rect>
        </w:pict>
      </w:r>
    </w:p>
    <w:p w:rsidR="00725CE4" w:rsidRDefault="00725CE4" w:rsidP="00725CE4">
      <w:pPr>
        <w:jc w:val="both"/>
        <w:rPr>
          <w:rFonts w:asciiTheme="majorHAnsi" w:hAnsiTheme="majorHAnsi" w:cs="Times New Roman"/>
        </w:rPr>
      </w:pPr>
    </w:p>
    <w:p w:rsidR="00725CE4" w:rsidRDefault="00725CE4" w:rsidP="00725CE4">
      <w:pPr>
        <w:jc w:val="both"/>
        <w:rPr>
          <w:rFonts w:asciiTheme="majorHAnsi" w:hAnsiTheme="majorHAnsi" w:cs="Times New Roman"/>
        </w:rPr>
      </w:pPr>
    </w:p>
    <w:p w:rsidR="00725CE4" w:rsidRDefault="00725CE4" w:rsidP="00725CE4">
      <w:pPr>
        <w:rPr>
          <w:rFonts w:asciiTheme="majorHAnsi" w:hAnsiTheme="majorHAnsi" w:cs="Times New Roman"/>
        </w:rPr>
      </w:pPr>
    </w:p>
    <w:p w:rsidR="00725CE4" w:rsidRDefault="00F46789" w:rsidP="00725CE4">
      <w:pPr>
        <w:rPr>
          <w:rFonts w:asciiTheme="majorHAnsi" w:hAnsiTheme="majorHAnsi" w:cs="Times New Roman"/>
        </w:rPr>
      </w:pPr>
      <w:r>
        <w:rPr>
          <w:rFonts w:asciiTheme="majorHAnsi" w:hAnsiTheme="majorHAnsi" w:cs="Times New Roman"/>
          <w:noProof/>
          <w:lang w:eastAsia="pl-PL"/>
        </w:rPr>
        <w:pict>
          <v:rect id="_x0000_s1037" style="position:absolute;margin-left:307pt;margin-top:17.8pt;width:171pt;height:54pt;z-index:251664384" fillcolor="#95b3d7 [1940]" strokecolor="#95b3d7 [1940]" strokeweight="1pt">
            <v:fill color2="#dbe5f1 [660]" angle="-45" focus="-50%" type="gradient"/>
            <v:shadow on="t" type="perspective" color="#243f60 [1604]" opacity=".5" offset="1pt" offset2="-3pt"/>
            <v:textbox style="mso-next-textbox:#_x0000_s1037">
              <w:txbxContent>
                <w:p w:rsidR="00725CE4" w:rsidRPr="000D166A" w:rsidRDefault="00725CE4" w:rsidP="00725CE4">
                  <w:pPr>
                    <w:jc w:val="center"/>
                    <w:rPr>
                      <w:sz w:val="24"/>
                      <w:szCs w:val="24"/>
                    </w:rPr>
                  </w:pPr>
                  <w:r>
                    <w:rPr>
                      <w:rFonts w:asciiTheme="majorHAnsi" w:hAnsiTheme="majorHAnsi" w:cs="Times New Roman"/>
                    </w:rPr>
                    <w:t>około 42 razy więcej niż gmina wyda na ochronę zdrowia w 2014 r</w:t>
                  </w:r>
                  <w:r w:rsidRPr="000D166A">
                    <w:rPr>
                      <w:rFonts w:asciiTheme="majorHAnsi" w:hAnsiTheme="majorHAnsi" w:cs="Times New Roman"/>
                      <w:sz w:val="24"/>
                      <w:szCs w:val="24"/>
                    </w:rPr>
                    <w:t>.</w:t>
                  </w:r>
                </w:p>
              </w:txbxContent>
            </v:textbox>
          </v:rect>
        </w:pict>
      </w:r>
    </w:p>
    <w:p w:rsidR="00725CE4" w:rsidRDefault="00725CE4" w:rsidP="00725CE4">
      <w:pPr>
        <w:rPr>
          <w:rFonts w:asciiTheme="majorHAnsi" w:hAnsiTheme="majorHAnsi" w:cs="Times New Roman"/>
        </w:rPr>
      </w:pPr>
    </w:p>
    <w:p w:rsidR="00725CE4" w:rsidRDefault="00725CE4" w:rsidP="00725CE4">
      <w:pPr>
        <w:rPr>
          <w:rFonts w:asciiTheme="majorHAnsi" w:hAnsiTheme="majorHAnsi" w:cs="Times New Roman"/>
        </w:rPr>
      </w:pPr>
    </w:p>
    <w:p w:rsidR="00725CE4" w:rsidRDefault="00F46789" w:rsidP="00725CE4">
      <w:pPr>
        <w:rPr>
          <w:rFonts w:asciiTheme="majorHAnsi" w:hAnsiTheme="majorHAnsi" w:cs="Times New Roman"/>
        </w:rPr>
      </w:pPr>
      <w:r>
        <w:rPr>
          <w:rFonts w:asciiTheme="majorHAnsi" w:hAnsiTheme="majorHAnsi" w:cs="Times New Roman"/>
          <w:noProof/>
          <w:lang w:eastAsia="pl-PL"/>
        </w:rPr>
        <w:pict>
          <v:rect id="_x0000_s1038" style="position:absolute;margin-left:307pt;margin-top:21.55pt;width:171pt;height:41.25pt;z-index:251665408" fillcolor="#95b3d7 [1940]" strokecolor="#95b3d7 [1940]" strokeweight="1pt">
            <v:fill color2="#dbe5f1 [660]" angle="-45" focus="-50%" type="gradient"/>
            <v:shadow on="t" type="perspective" color="#243f60 [1604]" opacity=".5" offset="1pt" offset2="-3pt"/>
            <v:textbox style="mso-next-textbox:#_x0000_s1038">
              <w:txbxContent>
                <w:p w:rsidR="00725CE4" w:rsidRPr="000D166A" w:rsidRDefault="00725CE4" w:rsidP="00725CE4">
                  <w:pPr>
                    <w:jc w:val="center"/>
                  </w:pPr>
                  <w:r>
                    <w:rPr>
                      <w:rFonts w:asciiTheme="majorHAnsi" w:hAnsiTheme="majorHAnsi" w:cs="Times New Roman"/>
                    </w:rPr>
                    <w:t>ponad 3,5 raz więcej niż gmina wyda na przedszkola w 2014 r.</w:t>
                  </w:r>
                </w:p>
              </w:txbxContent>
            </v:textbox>
          </v:rect>
        </w:pict>
      </w:r>
    </w:p>
    <w:p w:rsidR="00725CE4" w:rsidRDefault="00F46789" w:rsidP="00725CE4">
      <w:pPr>
        <w:rPr>
          <w:rFonts w:asciiTheme="majorHAnsi" w:hAnsiTheme="majorHAnsi" w:cs="Times New Roman"/>
        </w:rPr>
      </w:pPr>
      <w:r>
        <w:rPr>
          <w:rFonts w:asciiTheme="majorHAnsi" w:hAnsiTheme="majorHAnsi" w:cs="Times New Roman"/>
          <w:noProof/>
          <w:lang w:eastAsia="pl-PL"/>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5" type="#_x0000_t93" style="position:absolute;margin-left:174.3pt;margin-top:13.45pt;width:122.25pt;height:99pt;z-index:251662336" fillcolor="#c2d69b [1942]" strokecolor="#c2d69b [1942]" strokeweight="1pt">
            <v:fill color2="#eaf1dd [662]" angle="-45" focus="-50%" type="gradient"/>
            <v:shadow on="t" type="perspective" color="#4e6128 [1606]" opacity=".5" offset="1pt" offset2="-3pt"/>
            <v:textbox style="mso-next-textbox:#_x0000_s1035">
              <w:txbxContent>
                <w:p w:rsidR="00725CE4" w:rsidRPr="000D166A" w:rsidRDefault="00725CE4" w:rsidP="00725CE4">
                  <w:pPr>
                    <w:rPr>
                      <w:sz w:val="56"/>
                      <w:szCs w:val="56"/>
                    </w:rPr>
                  </w:pPr>
                  <w:r w:rsidRPr="000D166A">
                    <w:rPr>
                      <w:sz w:val="56"/>
                      <w:szCs w:val="56"/>
                    </w:rPr>
                    <w:t>czyli....</w:t>
                  </w:r>
                </w:p>
              </w:txbxContent>
            </v:textbox>
          </v:shape>
        </w:pict>
      </w:r>
    </w:p>
    <w:p w:rsidR="00725CE4" w:rsidRDefault="00F46789" w:rsidP="00725CE4">
      <w:pPr>
        <w:rPr>
          <w:rFonts w:asciiTheme="majorHAnsi" w:hAnsiTheme="majorHAnsi" w:cs="Times New Roman"/>
        </w:rPr>
      </w:pPr>
      <w:r>
        <w:rPr>
          <w:rFonts w:asciiTheme="majorHAnsi" w:hAnsiTheme="majorHAnsi" w:cs="Times New Roman"/>
          <w:noProof/>
          <w:lang w:eastAsia="pl-PL"/>
        </w:rPr>
        <w:pict>
          <v:rect id="_x0000_s1034" style="position:absolute;margin-left:-34.85pt;margin-top:13.1pt;width:199.5pt;height:82.5pt;z-index:251661312" fillcolor="white [3201]" strokecolor="#c2d69b [1942]" strokeweight="1pt">
            <v:fill color2="#d6e3bc [1302]" focusposition="1" focussize="" focus="100%" type="gradient"/>
            <v:shadow on="t" type="perspective" color="#4e6128 [1606]" opacity=".5" offset="1pt" offset2="-3pt"/>
            <v:textbox style="mso-next-textbox:#_x0000_s1034">
              <w:txbxContent>
                <w:p w:rsidR="00725CE4" w:rsidRPr="00F709E3" w:rsidRDefault="00725CE4" w:rsidP="00725CE4">
                  <w:pPr>
                    <w:jc w:val="center"/>
                    <w:rPr>
                      <w:sz w:val="40"/>
                      <w:szCs w:val="40"/>
                    </w:rPr>
                  </w:pPr>
                  <w:r w:rsidRPr="00F709E3">
                    <w:rPr>
                      <w:rFonts w:asciiTheme="majorHAnsi" w:hAnsiTheme="majorHAnsi" w:cs="Times New Roman"/>
                      <w:sz w:val="40"/>
                      <w:szCs w:val="40"/>
                    </w:rPr>
                    <w:t>Tracimy zatem ok</w:t>
                  </w:r>
                  <w:r>
                    <w:rPr>
                      <w:rFonts w:asciiTheme="majorHAnsi" w:hAnsiTheme="majorHAnsi" w:cs="Times New Roman"/>
                      <w:sz w:val="40"/>
                      <w:szCs w:val="40"/>
                    </w:rPr>
                    <w:t>.</w:t>
                  </w:r>
                  <w:r w:rsidRPr="00F709E3">
                    <w:rPr>
                      <w:rFonts w:asciiTheme="majorHAnsi" w:hAnsiTheme="majorHAnsi" w:cs="Times New Roman"/>
                      <w:sz w:val="40"/>
                      <w:szCs w:val="40"/>
                    </w:rPr>
                    <w:t xml:space="preserve"> 24 miliony złotych!!!</w:t>
                  </w:r>
                </w:p>
              </w:txbxContent>
            </v:textbox>
          </v:rect>
        </w:pict>
      </w:r>
    </w:p>
    <w:p w:rsidR="00725CE4" w:rsidRPr="00F709E3" w:rsidRDefault="00F46789" w:rsidP="00725CE4">
      <w:pPr>
        <w:rPr>
          <w:rFonts w:asciiTheme="majorHAnsi" w:hAnsiTheme="majorHAnsi" w:cs="Times New Roman"/>
          <w:sz w:val="24"/>
          <w:szCs w:val="24"/>
        </w:rPr>
      </w:pPr>
      <w:r w:rsidRPr="00F46789">
        <w:rPr>
          <w:rFonts w:asciiTheme="majorHAnsi" w:hAnsiTheme="majorHAnsi" w:cs="Times New Roman"/>
          <w:noProof/>
          <w:lang w:eastAsia="pl-PL"/>
        </w:rPr>
        <w:pict>
          <v:rect id="_x0000_s1039" style="position:absolute;margin-left:307pt;margin-top:11.55pt;width:171pt;height:81.75pt;z-index:251666432" fillcolor="#95b3d7 [1940]" strokecolor="#95b3d7 [1940]" strokeweight="1pt">
            <v:fill color2="#dbe5f1 [660]" angle="-45" focus="-50%" type="gradient"/>
            <v:shadow on="t" type="perspective" color="#243f60 [1604]" opacity=".5" offset="1pt" offset2="-3pt"/>
            <v:textbox style="mso-next-textbox:#_x0000_s1039">
              <w:txbxContent>
                <w:p w:rsidR="00725CE4" w:rsidRPr="000D166A" w:rsidRDefault="00725CE4" w:rsidP="00725CE4">
                  <w:pPr>
                    <w:jc w:val="center"/>
                    <w:rPr>
                      <w:sz w:val="24"/>
                      <w:szCs w:val="24"/>
                    </w:rPr>
                  </w:pPr>
                  <w:r>
                    <w:rPr>
                      <w:rFonts w:asciiTheme="majorHAnsi" w:hAnsiTheme="majorHAnsi" w:cs="Times New Roman"/>
                      <w:sz w:val="24"/>
                      <w:szCs w:val="24"/>
                    </w:rPr>
                    <w:t>ponad 8 razy więcej niż gmina wyda na kulturę i ochronę dziedzictwa narodowego w 2014 r.</w:t>
                  </w:r>
                </w:p>
              </w:txbxContent>
            </v:textbox>
          </v:rect>
        </w:pict>
      </w:r>
      <w:r w:rsidR="00725CE4">
        <w:rPr>
          <w:rFonts w:asciiTheme="majorHAnsi" w:hAnsiTheme="majorHAnsi" w:cs="Times New Roman"/>
        </w:rPr>
        <w:tab/>
      </w:r>
      <w:r w:rsidR="00725CE4">
        <w:rPr>
          <w:rFonts w:asciiTheme="majorHAnsi" w:hAnsiTheme="majorHAnsi" w:cs="Times New Roman"/>
        </w:rPr>
        <w:tab/>
      </w:r>
      <w:r w:rsidR="00725CE4">
        <w:rPr>
          <w:rFonts w:asciiTheme="majorHAnsi" w:hAnsiTheme="majorHAnsi" w:cs="Times New Roman"/>
        </w:rPr>
        <w:tab/>
      </w:r>
      <w:r w:rsidR="00725CE4">
        <w:rPr>
          <w:rFonts w:asciiTheme="majorHAnsi" w:hAnsiTheme="majorHAnsi" w:cs="Times New Roman"/>
        </w:rPr>
        <w:tab/>
      </w:r>
      <w:r w:rsidR="00725CE4">
        <w:rPr>
          <w:rFonts w:asciiTheme="majorHAnsi" w:hAnsiTheme="majorHAnsi" w:cs="Times New Roman"/>
        </w:rPr>
        <w:tab/>
      </w:r>
      <w:r w:rsidR="00725CE4">
        <w:rPr>
          <w:rFonts w:asciiTheme="majorHAnsi" w:hAnsiTheme="majorHAnsi" w:cs="Times New Roman"/>
        </w:rPr>
        <w:tab/>
      </w:r>
      <w:r w:rsidR="00725CE4">
        <w:rPr>
          <w:rFonts w:asciiTheme="majorHAnsi" w:hAnsiTheme="majorHAnsi" w:cs="Times New Roman"/>
        </w:rPr>
        <w:tab/>
      </w:r>
    </w:p>
    <w:p w:rsidR="00725CE4" w:rsidRDefault="00725CE4" w:rsidP="00725CE4">
      <w:pPr>
        <w:rPr>
          <w:rFonts w:asciiTheme="majorHAnsi" w:hAnsiTheme="majorHAnsi" w:cs="Times New Roman"/>
        </w:rPr>
      </w:pPr>
    </w:p>
    <w:p w:rsidR="00954E67" w:rsidRDefault="00954E67" w:rsidP="00AC4E3F">
      <w:pPr>
        <w:jc w:val="both"/>
      </w:pPr>
    </w:p>
    <w:p w:rsidR="00D6546B" w:rsidRDefault="00D6546B" w:rsidP="00AC4E3F">
      <w:pPr>
        <w:jc w:val="both"/>
      </w:pPr>
      <w:r>
        <w:t>Z poważaniem,</w:t>
      </w:r>
    </w:p>
    <w:p w:rsidR="00D6546B" w:rsidRDefault="00D6546B" w:rsidP="00AC4E3F">
      <w:pPr>
        <w:jc w:val="both"/>
      </w:pPr>
      <w:r>
        <w:t>Michał Dziedzic</w:t>
      </w:r>
    </w:p>
    <w:p w:rsidR="00291E9B" w:rsidRDefault="00291E9B" w:rsidP="00AC4E3F">
      <w:pPr>
        <w:jc w:val="both"/>
      </w:pPr>
      <w:r>
        <w:t>Stowarzyszenie Mój Suchy Las</w:t>
      </w:r>
    </w:p>
    <w:p w:rsidR="00796F23" w:rsidRDefault="00796F23" w:rsidP="00AC4E3F">
      <w:pPr>
        <w:jc w:val="both"/>
      </w:pPr>
    </w:p>
    <w:p w:rsidR="00FA2D4A" w:rsidRDefault="00FA2D4A" w:rsidP="00AC4E3F">
      <w:pPr>
        <w:jc w:val="both"/>
      </w:pPr>
    </w:p>
    <w:sectPr w:rsidR="00FA2D4A" w:rsidSect="00FD2C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D5744"/>
    <w:multiLevelType w:val="hybridMultilevel"/>
    <w:tmpl w:val="0248C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425"/>
  <w:characterSpacingControl w:val="doNotCompress"/>
  <w:compat/>
  <w:rsids>
    <w:rsidRoot w:val="00632244"/>
    <w:rsid w:val="00006B44"/>
    <w:rsid w:val="000C2548"/>
    <w:rsid w:val="000C4067"/>
    <w:rsid w:val="000F78D5"/>
    <w:rsid w:val="001B27D1"/>
    <w:rsid w:val="001C1C89"/>
    <w:rsid w:val="001C6AE5"/>
    <w:rsid w:val="0023774A"/>
    <w:rsid w:val="0025742F"/>
    <w:rsid w:val="00291E9B"/>
    <w:rsid w:val="00301911"/>
    <w:rsid w:val="00357F84"/>
    <w:rsid w:val="0038790B"/>
    <w:rsid w:val="00410F0D"/>
    <w:rsid w:val="00457796"/>
    <w:rsid w:val="004657C4"/>
    <w:rsid w:val="00487123"/>
    <w:rsid w:val="004E07E7"/>
    <w:rsid w:val="00525343"/>
    <w:rsid w:val="005C3E1E"/>
    <w:rsid w:val="00632244"/>
    <w:rsid w:val="006B750F"/>
    <w:rsid w:val="006C53DC"/>
    <w:rsid w:val="00725CE4"/>
    <w:rsid w:val="00752EAE"/>
    <w:rsid w:val="00784886"/>
    <w:rsid w:val="00784CE9"/>
    <w:rsid w:val="00796F23"/>
    <w:rsid w:val="007A3A99"/>
    <w:rsid w:val="007C6B3F"/>
    <w:rsid w:val="008635B1"/>
    <w:rsid w:val="00932872"/>
    <w:rsid w:val="00954E67"/>
    <w:rsid w:val="009637DE"/>
    <w:rsid w:val="0099017E"/>
    <w:rsid w:val="00A17A68"/>
    <w:rsid w:val="00A62150"/>
    <w:rsid w:val="00A71821"/>
    <w:rsid w:val="00A80125"/>
    <w:rsid w:val="00AC4E3F"/>
    <w:rsid w:val="00B20291"/>
    <w:rsid w:val="00B47062"/>
    <w:rsid w:val="00B650C2"/>
    <w:rsid w:val="00B954C6"/>
    <w:rsid w:val="00BB2321"/>
    <w:rsid w:val="00C07CC2"/>
    <w:rsid w:val="00C53885"/>
    <w:rsid w:val="00CC4F6C"/>
    <w:rsid w:val="00CF57DE"/>
    <w:rsid w:val="00CF6B32"/>
    <w:rsid w:val="00D50F31"/>
    <w:rsid w:val="00D6546B"/>
    <w:rsid w:val="00D66ABC"/>
    <w:rsid w:val="00D92965"/>
    <w:rsid w:val="00D96C88"/>
    <w:rsid w:val="00DA37FB"/>
    <w:rsid w:val="00E90D9F"/>
    <w:rsid w:val="00EA444E"/>
    <w:rsid w:val="00F46789"/>
    <w:rsid w:val="00F56AC1"/>
    <w:rsid w:val="00FA2D4A"/>
    <w:rsid w:val="00FB3CC0"/>
    <w:rsid w:val="00FD2C4E"/>
    <w:rsid w:val="00FE32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2C4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A2D4A"/>
    <w:pPr>
      <w:ind w:left="720"/>
      <w:contextualSpacing/>
    </w:pPr>
  </w:style>
  <w:style w:type="paragraph" w:styleId="Tekstdymka">
    <w:name w:val="Balloon Text"/>
    <w:basedOn w:val="Normalny"/>
    <w:link w:val="TekstdymkaZnak"/>
    <w:uiPriority w:val="99"/>
    <w:semiHidden/>
    <w:unhideWhenUsed/>
    <w:rsid w:val="00FA2D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2D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chart" Target="charts/chart1.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tx>
            <c:strRef>
              <c:f>Arkusz1!$B$1</c:f>
              <c:strCache>
                <c:ptCount val="1"/>
                <c:pt idx="0">
                  <c:v>wydatki na urząd gminy w przeliczeniu na mieszkańca (w zł)</c:v>
                </c:pt>
              </c:strCache>
            </c:strRef>
          </c:tx>
          <c:dLbls>
            <c:showVal val="1"/>
          </c:dLbls>
          <c:cat>
            <c:strRef>
              <c:f>Arkusz1!$A$2:$A$5</c:f>
              <c:strCache>
                <c:ptCount val="4"/>
                <c:pt idx="0">
                  <c:v>Dopiewo</c:v>
                </c:pt>
                <c:pt idx="1">
                  <c:v>Komorniki</c:v>
                </c:pt>
                <c:pt idx="2">
                  <c:v>Rokietnica</c:v>
                </c:pt>
                <c:pt idx="3">
                  <c:v>Suchy Las</c:v>
                </c:pt>
              </c:strCache>
            </c:strRef>
          </c:cat>
          <c:val>
            <c:numRef>
              <c:f>Arkusz1!$B$2:$B$5</c:f>
              <c:numCache>
                <c:formatCode>General</c:formatCode>
                <c:ptCount val="4"/>
                <c:pt idx="0">
                  <c:v>261</c:v>
                </c:pt>
                <c:pt idx="1">
                  <c:v>296</c:v>
                </c:pt>
                <c:pt idx="2">
                  <c:v>312</c:v>
                </c:pt>
                <c:pt idx="3">
                  <c:v>561</c:v>
                </c:pt>
              </c:numCache>
            </c:numRef>
          </c:val>
        </c:ser>
        <c:ser>
          <c:idx val="1"/>
          <c:order val="1"/>
          <c:tx>
            <c:strRef>
              <c:f>Arkusz1!$C$1</c:f>
              <c:strCache>
                <c:ptCount val="1"/>
                <c:pt idx="0">
                  <c:v>Kolumna1</c:v>
                </c:pt>
              </c:strCache>
            </c:strRef>
          </c:tx>
          <c:cat>
            <c:strRef>
              <c:f>Arkusz1!$A$2:$A$5</c:f>
              <c:strCache>
                <c:ptCount val="4"/>
                <c:pt idx="0">
                  <c:v>Dopiewo</c:v>
                </c:pt>
                <c:pt idx="1">
                  <c:v>Komorniki</c:v>
                </c:pt>
                <c:pt idx="2">
                  <c:v>Rokietnica</c:v>
                </c:pt>
                <c:pt idx="3">
                  <c:v>Suchy Las</c:v>
                </c:pt>
              </c:strCache>
            </c:strRef>
          </c:cat>
          <c:val>
            <c:numRef>
              <c:f>Arkusz1!$C$2:$C$5</c:f>
              <c:numCache>
                <c:formatCode>General</c:formatCode>
                <c:ptCount val="4"/>
              </c:numCache>
            </c:numRef>
          </c:val>
        </c:ser>
        <c:ser>
          <c:idx val="2"/>
          <c:order val="2"/>
          <c:tx>
            <c:strRef>
              <c:f>Arkusz1!$D$1</c:f>
              <c:strCache>
                <c:ptCount val="1"/>
                <c:pt idx="0">
                  <c:v>Kolumna2</c:v>
                </c:pt>
              </c:strCache>
            </c:strRef>
          </c:tx>
          <c:cat>
            <c:strRef>
              <c:f>Arkusz1!$A$2:$A$5</c:f>
              <c:strCache>
                <c:ptCount val="4"/>
                <c:pt idx="0">
                  <c:v>Dopiewo</c:v>
                </c:pt>
                <c:pt idx="1">
                  <c:v>Komorniki</c:v>
                </c:pt>
                <c:pt idx="2">
                  <c:v>Rokietnica</c:v>
                </c:pt>
                <c:pt idx="3">
                  <c:v>Suchy Las</c:v>
                </c:pt>
              </c:strCache>
            </c:strRef>
          </c:cat>
          <c:val>
            <c:numRef>
              <c:f>Arkusz1!$D$2:$D$5</c:f>
              <c:numCache>
                <c:formatCode>General</c:formatCode>
                <c:ptCount val="4"/>
              </c:numCache>
            </c:numRef>
          </c:val>
        </c:ser>
        <c:axId val="92668288"/>
        <c:axId val="92669824"/>
      </c:barChart>
      <c:catAx>
        <c:axId val="92668288"/>
        <c:scaling>
          <c:orientation val="minMax"/>
        </c:scaling>
        <c:axPos val="l"/>
        <c:tickLblPos val="nextTo"/>
        <c:crossAx val="92669824"/>
        <c:crosses val="autoZero"/>
        <c:auto val="1"/>
        <c:lblAlgn val="ctr"/>
        <c:lblOffset val="100"/>
      </c:catAx>
      <c:valAx>
        <c:axId val="92669824"/>
        <c:scaling>
          <c:orientation val="minMax"/>
        </c:scaling>
        <c:axPos val="b"/>
        <c:majorGridlines/>
        <c:numFmt formatCode="General" sourceLinked="1"/>
        <c:tickLblPos val="nextTo"/>
        <c:crossAx val="92668288"/>
        <c:crosses val="autoZero"/>
        <c:crossBetween val="between"/>
      </c:valAx>
    </c:plotArea>
    <c:legend>
      <c:legendPos val="r"/>
      <c:legendEntry>
        <c:idx val="0"/>
        <c:delete val="1"/>
      </c:legendEntry>
      <c:legendEntry>
        <c:idx val="1"/>
        <c:delete val="1"/>
      </c:legendEntry>
      <c:layout>
        <c:manualLayout>
          <c:xMode val="edge"/>
          <c:yMode val="edge"/>
          <c:x val="0.66913312919218471"/>
          <c:y val="0.4161729783777034"/>
          <c:w val="0.24753353747448253"/>
          <c:h val="0.32241563554555708"/>
        </c:manualLayout>
      </c:layout>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377008-4E19-4908-8055-34057E932CB3}" type="doc">
      <dgm:prSet loTypeId="urn:microsoft.com/office/officeart/2005/8/layout/arrow5" loCatId="relationship" qsTypeId="urn:microsoft.com/office/officeart/2005/8/quickstyle/simple1" qsCatId="simple" csTypeId="urn:microsoft.com/office/officeart/2005/8/colors/colorful3" csCatId="colorful" phldr="1"/>
      <dgm:spPr/>
      <dgm:t>
        <a:bodyPr/>
        <a:lstStyle/>
        <a:p>
          <a:endParaRPr lang="pl-PL"/>
        </a:p>
      </dgm:t>
    </dgm:pt>
    <dgm:pt modelId="{8641B736-A694-4DBA-AD62-97EE7FF99193}">
      <dgm:prSet phldrT="[Tekst]"/>
      <dgm:spPr/>
      <dgm:t>
        <a:bodyPr/>
        <a:lstStyle/>
        <a:p>
          <a:r>
            <a:rPr lang="pl-PL"/>
            <a:t>10,6 miliona zł - </a:t>
          </a:r>
        </a:p>
        <a:p>
          <a:r>
            <a:rPr lang="pl-PL"/>
            <a:t>tyle gmina zapłaci </a:t>
          </a:r>
          <a:r>
            <a:rPr lang="pl-PL" i="1"/>
            <a:t>janosikowego </a:t>
          </a:r>
          <a:br>
            <a:rPr lang="pl-PL" i="1"/>
          </a:br>
          <a:r>
            <a:rPr lang="pl-PL" i="1"/>
            <a:t>w 2014 r.</a:t>
          </a:r>
        </a:p>
      </dgm:t>
    </dgm:pt>
    <dgm:pt modelId="{719353CE-7B40-427C-8263-67C8582C6D05}" type="parTrans" cxnId="{20472755-CE43-40FD-A6B9-4AFF0627C709}">
      <dgm:prSet/>
      <dgm:spPr/>
      <dgm:t>
        <a:bodyPr/>
        <a:lstStyle/>
        <a:p>
          <a:endParaRPr lang="pl-PL"/>
        </a:p>
      </dgm:t>
    </dgm:pt>
    <dgm:pt modelId="{C3B6179F-9BD9-45EC-B5EE-3C5D8EAD150C}" type="sibTrans" cxnId="{20472755-CE43-40FD-A6B9-4AFF0627C709}">
      <dgm:prSet/>
      <dgm:spPr/>
      <dgm:t>
        <a:bodyPr/>
        <a:lstStyle/>
        <a:p>
          <a:endParaRPr lang="pl-PL"/>
        </a:p>
      </dgm:t>
    </dgm:pt>
    <dgm:pt modelId="{EF40A371-9FC4-46FC-8784-B311AF0F04B4}">
      <dgm:prSet phldrT="[Tekst]"/>
      <dgm:spPr/>
      <dgm:t>
        <a:bodyPr/>
        <a:lstStyle/>
        <a:p>
          <a:r>
            <a:rPr lang="pl-PL"/>
            <a:t>11,5 miliona zł -</a:t>
          </a:r>
        </a:p>
        <a:p>
          <a:r>
            <a:rPr lang="pl-PL"/>
            <a:t>tyle gmina dostanie za poligon w 2014 r.</a:t>
          </a:r>
        </a:p>
      </dgm:t>
    </dgm:pt>
    <dgm:pt modelId="{9122FD6D-539A-4ECA-A3E5-FDA76E433654}" type="parTrans" cxnId="{951BF5F9-C545-4013-9287-57DF9C7FF573}">
      <dgm:prSet/>
      <dgm:spPr/>
      <dgm:t>
        <a:bodyPr/>
        <a:lstStyle/>
        <a:p>
          <a:endParaRPr lang="pl-PL"/>
        </a:p>
      </dgm:t>
    </dgm:pt>
    <dgm:pt modelId="{8CDAF05F-9BD3-4FE2-91A5-4A1A84B3C370}" type="sibTrans" cxnId="{951BF5F9-C545-4013-9287-57DF9C7FF573}">
      <dgm:prSet/>
      <dgm:spPr/>
      <dgm:t>
        <a:bodyPr/>
        <a:lstStyle/>
        <a:p>
          <a:endParaRPr lang="pl-PL"/>
        </a:p>
      </dgm:t>
    </dgm:pt>
    <dgm:pt modelId="{650C8488-BE0D-4BA3-9C92-27E6D2F284FE}" type="pres">
      <dgm:prSet presAssocID="{9B377008-4E19-4908-8055-34057E932CB3}" presName="diagram" presStyleCnt="0">
        <dgm:presLayoutVars>
          <dgm:dir/>
          <dgm:resizeHandles val="exact"/>
        </dgm:presLayoutVars>
      </dgm:prSet>
      <dgm:spPr/>
      <dgm:t>
        <a:bodyPr/>
        <a:lstStyle/>
        <a:p>
          <a:endParaRPr lang="pl-PL"/>
        </a:p>
      </dgm:t>
    </dgm:pt>
    <dgm:pt modelId="{2F8983F9-4B91-4388-B8FC-7ABF9FB08604}" type="pres">
      <dgm:prSet presAssocID="{8641B736-A694-4DBA-AD62-97EE7FF99193}" presName="arrow" presStyleLbl="node1" presStyleIdx="0" presStyleCnt="2">
        <dgm:presLayoutVars>
          <dgm:bulletEnabled val="1"/>
        </dgm:presLayoutVars>
      </dgm:prSet>
      <dgm:spPr/>
      <dgm:t>
        <a:bodyPr/>
        <a:lstStyle/>
        <a:p>
          <a:endParaRPr lang="pl-PL"/>
        </a:p>
      </dgm:t>
    </dgm:pt>
    <dgm:pt modelId="{97DA2F4E-9FBB-42BA-9688-ED71743C0515}" type="pres">
      <dgm:prSet presAssocID="{EF40A371-9FC4-46FC-8784-B311AF0F04B4}" presName="arrow" presStyleLbl="node1" presStyleIdx="1" presStyleCnt="2">
        <dgm:presLayoutVars>
          <dgm:bulletEnabled val="1"/>
        </dgm:presLayoutVars>
      </dgm:prSet>
      <dgm:spPr/>
      <dgm:t>
        <a:bodyPr/>
        <a:lstStyle/>
        <a:p>
          <a:endParaRPr lang="pl-PL"/>
        </a:p>
      </dgm:t>
    </dgm:pt>
  </dgm:ptLst>
  <dgm:cxnLst>
    <dgm:cxn modelId="{F16FA892-74CC-4D8E-B0EC-16365DE07D22}" type="presOf" srcId="{EF40A371-9FC4-46FC-8784-B311AF0F04B4}" destId="{97DA2F4E-9FBB-42BA-9688-ED71743C0515}" srcOrd="0" destOrd="0" presId="urn:microsoft.com/office/officeart/2005/8/layout/arrow5"/>
    <dgm:cxn modelId="{79406B50-EA26-4E09-9E4B-E447CAEEAD5E}" type="presOf" srcId="{8641B736-A694-4DBA-AD62-97EE7FF99193}" destId="{2F8983F9-4B91-4388-B8FC-7ABF9FB08604}" srcOrd="0" destOrd="0" presId="urn:microsoft.com/office/officeart/2005/8/layout/arrow5"/>
    <dgm:cxn modelId="{20472755-CE43-40FD-A6B9-4AFF0627C709}" srcId="{9B377008-4E19-4908-8055-34057E932CB3}" destId="{8641B736-A694-4DBA-AD62-97EE7FF99193}" srcOrd="0" destOrd="0" parTransId="{719353CE-7B40-427C-8263-67C8582C6D05}" sibTransId="{C3B6179F-9BD9-45EC-B5EE-3C5D8EAD150C}"/>
    <dgm:cxn modelId="{951BF5F9-C545-4013-9287-57DF9C7FF573}" srcId="{9B377008-4E19-4908-8055-34057E932CB3}" destId="{EF40A371-9FC4-46FC-8784-B311AF0F04B4}" srcOrd="1" destOrd="0" parTransId="{9122FD6D-539A-4ECA-A3E5-FDA76E433654}" sibTransId="{8CDAF05F-9BD3-4FE2-91A5-4A1A84B3C370}"/>
    <dgm:cxn modelId="{D360D572-1E50-4554-98EB-DEFF88A4C490}" type="presOf" srcId="{9B377008-4E19-4908-8055-34057E932CB3}" destId="{650C8488-BE0D-4BA3-9C92-27E6D2F284FE}" srcOrd="0" destOrd="0" presId="urn:microsoft.com/office/officeart/2005/8/layout/arrow5"/>
    <dgm:cxn modelId="{7853BCE0-89AC-44D7-B7B3-25C965693FB1}" type="presParOf" srcId="{650C8488-BE0D-4BA3-9C92-27E6D2F284FE}" destId="{2F8983F9-4B91-4388-B8FC-7ABF9FB08604}" srcOrd="0" destOrd="0" presId="urn:microsoft.com/office/officeart/2005/8/layout/arrow5"/>
    <dgm:cxn modelId="{0B055F55-47A6-4A39-B2E8-7B08A391D660}" type="presParOf" srcId="{650C8488-BE0D-4BA3-9C92-27E6D2F284FE}" destId="{97DA2F4E-9FBB-42BA-9688-ED71743C0515}" srcOrd="1" destOrd="0" presId="urn:microsoft.com/office/officeart/2005/8/layout/arrow5"/>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F8983F9-4B91-4388-B8FC-7ABF9FB08604}">
      <dsp:nvSpPr>
        <dsp:cNvPr id="0" name=""/>
        <dsp:cNvSpPr/>
      </dsp:nvSpPr>
      <dsp:spPr>
        <a:xfrm rot="16200000">
          <a:off x="385" y="268783"/>
          <a:ext cx="2662832" cy="2662832"/>
        </a:xfrm>
        <a:prstGeom prst="downArrow">
          <a:avLst>
            <a:gd name="adj1" fmla="val 50000"/>
            <a:gd name="adj2" fmla="val 35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pl-PL" sz="1700" kern="1200"/>
            <a:t>10,6 miliona zł - </a:t>
          </a:r>
        </a:p>
        <a:p>
          <a:pPr lvl="0" algn="ctr" defTabSz="755650">
            <a:lnSpc>
              <a:spcPct val="90000"/>
            </a:lnSpc>
            <a:spcBef>
              <a:spcPct val="0"/>
            </a:spcBef>
            <a:spcAft>
              <a:spcPct val="35000"/>
            </a:spcAft>
          </a:pPr>
          <a:r>
            <a:rPr lang="pl-PL" sz="1700" kern="1200"/>
            <a:t>tyle gmina zapłaci </a:t>
          </a:r>
          <a:r>
            <a:rPr lang="pl-PL" sz="1700" i="1" kern="1200"/>
            <a:t>janosikowego </a:t>
          </a:r>
          <a:br>
            <a:rPr lang="pl-PL" sz="1700" i="1" kern="1200"/>
          </a:br>
          <a:r>
            <a:rPr lang="pl-PL" sz="1700" i="1" kern="1200"/>
            <a:t>w 2014 r.</a:t>
          </a:r>
        </a:p>
      </dsp:txBody>
      <dsp:txXfrm rot="16200000">
        <a:off x="385" y="268783"/>
        <a:ext cx="2662832" cy="2662832"/>
      </dsp:txXfrm>
    </dsp:sp>
    <dsp:sp modelId="{97DA2F4E-9FBB-42BA-9688-ED71743C0515}">
      <dsp:nvSpPr>
        <dsp:cNvPr id="0" name=""/>
        <dsp:cNvSpPr/>
      </dsp:nvSpPr>
      <dsp:spPr>
        <a:xfrm rot="5400000">
          <a:off x="2823181" y="268783"/>
          <a:ext cx="2662832" cy="2662832"/>
        </a:xfrm>
        <a:prstGeom prst="downArrow">
          <a:avLst>
            <a:gd name="adj1" fmla="val 50000"/>
            <a:gd name="adj2" fmla="val 35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pl-PL" sz="1700" kern="1200"/>
            <a:t>11,5 miliona zł -</a:t>
          </a:r>
        </a:p>
        <a:p>
          <a:pPr lvl="0" algn="ctr" defTabSz="755650">
            <a:lnSpc>
              <a:spcPct val="90000"/>
            </a:lnSpc>
            <a:spcBef>
              <a:spcPct val="0"/>
            </a:spcBef>
            <a:spcAft>
              <a:spcPct val="35000"/>
            </a:spcAft>
          </a:pPr>
          <a:r>
            <a:rPr lang="pl-PL" sz="1700" kern="1200"/>
            <a:t>tyle gmina dostanie za poligon w 2014 r.</a:t>
          </a:r>
        </a:p>
      </dsp:txBody>
      <dsp:txXfrm rot="5400000">
        <a:off x="2823181" y="268783"/>
        <a:ext cx="2662832" cy="2662832"/>
      </dsp:txXfrm>
    </dsp:sp>
  </dsp:spTree>
</dsp:drawing>
</file>

<file path=word/diagrams/layout1.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753</Words>
  <Characters>4522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Nela</dc:creator>
  <cp:keywords/>
  <dc:description/>
  <cp:lastModifiedBy>Aga i Mike</cp:lastModifiedBy>
  <cp:revision>49</cp:revision>
  <dcterms:created xsi:type="dcterms:W3CDTF">2014-04-15T18:56:00Z</dcterms:created>
  <dcterms:modified xsi:type="dcterms:W3CDTF">2014-05-11T19:25:00Z</dcterms:modified>
</cp:coreProperties>
</file>